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Rozdział 6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Utrzymanie obiektów budowlanych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Art. 61. Właściciel lub zarządca obiektu budowlanego jest obowiązany: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1) utrzymywać i użytkować obiekt zgodnie z za</w:t>
      </w:r>
      <w:r>
        <w:rPr>
          <w:rFonts w:ascii="Arial" w:hAnsi="Arial" w:cs="Arial"/>
          <w:sz w:val="28"/>
          <w:szCs w:val="28"/>
        </w:rPr>
        <w:t xml:space="preserve">sadami, o których mowa w art. 5 </w:t>
      </w:r>
      <w:r w:rsidRPr="00E314C0">
        <w:rPr>
          <w:rFonts w:ascii="Arial" w:hAnsi="Arial" w:cs="Arial"/>
          <w:sz w:val="28"/>
          <w:szCs w:val="28"/>
        </w:rPr>
        <w:t>ust. 2;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2</w:t>
      </w:r>
      <w:r w:rsidRPr="00E4374E">
        <w:rPr>
          <w:rFonts w:ascii="Arial" w:hAnsi="Arial" w:cs="Arial"/>
          <w:sz w:val="28"/>
          <w:szCs w:val="28"/>
          <w:highlight w:val="yellow"/>
        </w:rPr>
        <w:t>) zapewnić, dochowując należytej staranności,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 bezpieczne użytkowanie obiektu </w:t>
      </w:r>
      <w:r w:rsidRPr="00E4374E">
        <w:rPr>
          <w:rFonts w:ascii="Arial" w:hAnsi="Arial" w:cs="Arial"/>
          <w:sz w:val="28"/>
          <w:szCs w:val="28"/>
          <w:highlight w:val="yellow"/>
        </w:rPr>
        <w:t>w razie wystąpienia czynników zewnętrz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nych odziaływujących na obiekt,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związanych z działaniem człowieka lub sił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natury, takich jak: wyładowania </w:t>
      </w:r>
      <w:r w:rsidRPr="00E4374E">
        <w:rPr>
          <w:rFonts w:ascii="Arial" w:hAnsi="Arial" w:cs="Arial"/>
          <w:sz w:val="28"/>
          <w:szCs w:val="28"/>
          <w:highlight w:val="yellow"/>
        </w:rPr>
        <w:t>atmosferyczne, wstrząsy sejsmiczne,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 silne wiatry, intensywne opady </w:t>
      </w:r>
      <w:r w:rsidRPr="00E4374E">
        <w:rPr>
          <w:rFonts w:ascii="Arial" w:hAnsi="Arial" w:cs="Arial"/>
          <w:sz w:val="28"/>
          <w:szCs w:val="28"/>
          <w:highlight w:val="yellow"/>
        </w:rPr>
        <w:t>atmosferyczne, osuwiska ziemi, zjawiska lodowe na rzekach i morzu or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az </w:t>
      </w:r>
      <w:r w:rsidRPr="00E4374E">
        <w:rPr>
          <w:rFonts w:ascii="Arial" w:hAnsi="Arial" w:cs="Arial"/>
          <w:sz w:val="28"/>
          <w:szCs w:val="28"/>
          <w:highlight w:val="yellow"/>
        </w:rPr>
        <w:t>jeziorach i zbiornikach wodnych, pożary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 lub powodzie, w wyniku których </w:t>
      </w:r>
      <w:r w:rsidRPr="00E4374E">
        <w:rPr>
          <w:rFonts w:ascii="Arial" w:hAnsi="Arial" w:cs="Arial"/>
          <w:sz w:val="28"/>
          <w:szCs w:val="28"/>
          <w:highlight w:val="yellow"/>
        </w:rPr>
        <w:t>następuje uszkodzenie obiektu budowlanego lu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b bezpośrednie zagrożenie takim </w:t>
      </w:r>
      <w:r w:rsidRPr="00E4374E">
        <w:rPr>
          <w:rFonts w:ascii="Arial" w:hAnsi="Arial" w:cs="Arial"/>
          <w:sz w:val="28"/>
          <w:szCs w:val="28"/>
          <w:highlight w:val="yellow"/>
        </w:rPr>
        <w:t>uszkodzeniem, mogące spowodować zagr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ożenie życia lub zdrowia ludzi, </w:t>
      </w:r>
      <w:r w:rsidRPr="00E4374E">
        <w:rPr>
          <w:rFonts w:ascii="Arial" w:hAnsi="Arial" w:cs="Arial"/>
          <w:sz w:val="28"/>
          <w:szCs w:val="28"/>
          <w:highlight w:val="yellow"/>
        </w:rPr>
        <w:t>bezpieczeństwa mienia lub środowiska.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Art. 62. 1. Obiekty budowlane powinny być w czasie ich użytkowania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poddawane przez właściciela lub zarządcę kontroli: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314C0">
        <w:rPr>
          <w:rFonts w:ascii="Arial" w:hAnsi="Arial" w:cs="Arial"/>
          <w:sz w:val="28"/>
          <w:szCs w:val="28"/>
        </w:rPr>
        <w:t>1</w:t>
      </w:r>
      <w:r w:rsidRPr="00E4374E">
        <w:rPr>
          <w:rFonts w:ascii="Arial" w:hAnsi="Arial" w:cs="Arial"/>
          <w:sz w:val="28"/>
          <w:szCs w:val="28"/>
          <w:highlight w:val="yellow"/>
        </w:rPr>
        <w:t>) okresowej, co najmniej raz w roku, polegającej na sprawdzeniu stanu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technicznego: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a) elementów budynku, budowli i instalacji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 narażonych na szkodliwe wpływy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atmosferyczne i niszczące działania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czynników występujących podczas </w:t>
      </w:r>
      <w:r w:rsidRPr="00E4374E">
        <w:rPr>
          <w:rFonts w:ascii="Arial" w:hAnsi="Arial" w:cs="Arial"/>
          <w:sz w:val="28"/>
          <w:szCs w:val="28"/>
          <w:highlight w:val="yellow"/>
        </w:rPr>
        <w:t>użytkowania obiektu,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b) instalacji i urządzeń służących ochronie środowiska,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c) instalacji gazowych oraz przewodów kominowych (dymowych,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spalinowych i wentylacyjnych);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cyan"/>
        </w:rPr>
      </w:pPr>
      <w:r w:rsidRPr="00E314C0">
        <w:rPr>
          <w:rFonts w:ascii="Arial" w:hAnsi="Arial" w:cs="Arial"/>
          <w:sz w:val="28"/>
          <w:szCs w:val="28"/>
        </w:rPr>
        <w:t>2</w:t>
      </w:r>
      <w:r w:rsidRPr="00E4374E">
        <w:rPr>
          <w:rFonts w:ascii="Arial" w:hAnsi="Arial" w:cs="Arial"/>
          <w:sz w:val="28"/>
          <w:szCs w:val="28"/>
          <w:highlight w:val="cyan"/>
        </w:rPr>
        <w:t>) okresowej, co najmniej raz na 5 lat,</w:t>
      </w:r>
      <w:r w:rsidRPr="00E314C0">
        <w:rPr>
          <w:rFonts w:ascii="Arial" w:hAnsi="Arial" w:cs="Arial"/>
          <w:sz w:val="28"/>
          <w:szCs w:val="28"/>
        </w:rPr>
        <w:t xml:space="preserve"> polegającej </w:t>
      </w:r>
      <w:r w:rsidRPr="00E4374E">
        <w:rPr>
          <w:rFonts w:ascii="Arial" w:hAnsi="Arial" w:cs="Arial"/>
          <w:sz w:val="28"/>
          <w:szCs w:val="28"/>
          <w:highlight w:val="cyan"/>
        </w:rPr>
        <w:t>na sprawdzeniu stanu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4374E">
        <w:rPr>
          <w:rFonts w:ascii="Arial" w:hAnsi="Arial" w:cs="Arial"/>
          <w:sz w:val="28"/>
          <w:szCs w:val="28"/>
          <w:highlight w:val="cyan"/>
        </w:rPr>
        <w:t>technicznego</w:t>
      </w:r>
      <w:r w:rsidRPr="00E314C0">
        <w:rPr>
          <w:rFonts w:ascii="Arial" w:hAnsi="Arial" w:cs="Arial"/>
          <w:sz w:val="28"/>
          <w:szCs w:val="28"/>
        </w:rPr>
        <w:t xml:space="preserve"> i przydatności do użytkowania obiektu budowlanego, </w:t>
      </w:r>
      <w:r w:rsidRPr="00E4374E">
        <w:rPr>
          <w:rFonts w:ascii="Arial" w:hAnsi="Arial" w:cs="Arial"/>
          <w:sz w:val="28"/>
          <w:szCs w:val="28"/>
          <w:highlight w:val="cyan"/>
        </w:rPr>
        <w:t>estetyk</w:t>
      </w:r>
      <w:r w:rsidRPr="00E314C0">
        <w:rPr>
          <w:rFonts w:ascii="Arial" w:hAnsi="Arial" w:cs="Arial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Pr="00E314C0">
        <w:rPr>
          <w:rFonts w:ascii="Arial" w:hAnsi="Arial" w:cs="Arial"/>
          <w:sz w:val="28"/>
          <w:szCs w:val="28"/>
        </w:rPr>
        <w:t>obiektu budowlanego oraz jego otoczenia; kontrolą tą powinno być objęte</w:t>
      </w:r>
      <w:r>
        <w:rPr>
          <w:rFonts w:ascii="Arial" w:hAnsi="Arial" w:cs="Arial"/>
          <w:sz w:val="28"/>
          <w:szCs w:val="28"/>
        </w:rPr>
        <w:t xml:space="preserve"> </w:t>
      </w:r>
      <w:r w:rsidRPr="00E314C0">
        <w:rPr>
          <w:rFonts w:ascii="Arial" w:hAnsi="Arial" w:cs="Arial"/>
          <w:sz w:val="28"/>
          <w:szCs w:val="28"/>
        </w:rPr>
        <w:t xml:space="preserve">również </w:t>
      </w:r>
      <w:r w:rsidRPr="00E4374E">
        <w:rPr>
          <w:rFonts w:ascii="Arial" w:hAnsi="Arial" w:cs="Arial"/>
          <w:sz w:val="28"/>
          <w:szCs w:val="28"/>
          <w:highlight w:val="cyan"/>
        </w:rPr>
        <w:t>badanie instalacji elektrycznej i piorunochronnej</w:t>
      </w:r>
      <w:r w:rsidRPr="00E314C0">
        <w:rPr>
          <w:rFonts w:ascii="Arial" w:hAnsi="Arial" w:cs="Arial"/>
          <w:sz w:val="28"/>
          <w:szCs w:val="28"/>
        </w:rPr>
        <w:t xml:space="preserve"> w zakresie stanu</w:t>
      </w:r>
      <w:r>
        <w:rPr>
          <w:rFonts w:ascii="Arial" w:hAnsi="Arial" w:cs="Arial"/>
          <w:sz w:val="28"/>
          <w:szCs w:val="28"/>
        </w:rPr>
        <w:t xml:space="preserve"> </w:t>
      </w:r>
      <w:r w:rsidRPr="00E314C0">
        <w:rPr>
          <w:rFonts w:ascii="Arial" w:hAnsi="Arial" w:cs="Arial"/>
          <w:sz w:val="28"/>
          <w:szCs w:val="28"/>
        </w:rPr>
        <w:t>sprawności połączeń, osprzętu, zabezpiecze</w:t>
      </w:r>
      <w:r>
        <w:rPr>
          <w:rFonts w:ascii="Arial" w:hAnsi="Arial" w:cs="Arial"/>
          <w:sz w:val="28"/>
          <w:szCs w:val="28"/>
        </w:rPr>
        <w:t xml:space="preserve">ń i środków </w:t>
      </w:r>
      <w:r>
        <w:rPr>
          <w:rFonts w:ascii="Arial" w:hAnsi="Arial" w:cs="Arial"/>
          <w:sz w:val="28"/>
          <w:szCs w:val="28"/>
        </w:rPr>
        <w:lastRenderedPageBreak/>
        <w:t xml:space="preserve">ochrony od porażeń, </w:t>
      </w:r>
      <w:r w:rsidRPr="00E314C0">
        <w:rPr>
          <w:rFonts w:ascii="Arial" w:hAnsi="Arial" w:cs="Arial"/>
          <w:sz w:val="28"/>
          <w:szCs w:val="28"/>
        </w:rPr>
        <w:t>oporności izolacji przewodów oraz uziemień instalacji i aparatów;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 xml:space="preserve">3)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okresowej w zakresie, o którym mowa w pkt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1, co najmniej dwa razy w roku,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w terminach do 31 maja oraz do 30 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listopada, w przypadku budynków </w:t>
      </w:r>
      <w:r w:rsidRPr="00E4374E">
        <w:rPr>
          <w:rFonts w:ascii="Arial" w:hAnsi="Arial" w:cs="Arial"/>
          <w:sz w:val="28"/>
          <w:szCs w:val="28"/>
          <w:highlight w:val="yellow"/>
        </w:rPr>
        <w:t>o powierzchni z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abudowy przekraczającej 2000 m2 oraz innych obiektów </w:t>
      </w:r>
      <w:r w:rsidRPr="00E4374E">
        <w:rPr>
          <w:rFonts w:ascii="Arial" w:hAnsi="Arial" w:cs="Arial"/>
          <w:sz w:val="28"/>
          <w:szCs w:val="28"/>
          <w:highlight w:val="yellow"/>
        </w:rPr>
        <w:t>budowlanych o powierzchni dachu przekraczającej 1000 m2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; osoba dokonująca </w:t>
      </w:r>
      <w:r w:rsidRPr="00E314C0">
        <w:rPr>
          <w:rFonts w:ascii="Arial" w:hAnsi="Arial" w:cs="Arial"/>
          <w:sz w:val="28"/>
          <w:szCs w:val="28"/>
        </w:rPr>
        <w:t>kontroli jest obowiązana bezzwłocznie pi</w:t>
      </w:r>
      <w:r>
        <w:rPr>
          <w:rFonts w:ascii="Arial" w:hAnsi="Arial" w:cs="Arial"/>
          <w:sz w:val="28"/>
          <w:szCs w:val="28"/>
        </w:rPr>
        <w:t xml:space="preserve">semnie zawiadomić organ nadzoru </w:t>
      </w:r>
      <w:r w:rsidRPr="00E314C0">
        <w:rPr>
          <w:rFonts w:ascii="Arial" w:hAnsi="Arial" w:cs="Arial"/>
          <w:sz w:val="28"/>
          <w:szCs w:val="28"/>
        </w:rPr>
        <w:t>budowlanego o przeprowadzonej kontroli;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4) bezpiecznego użytkowania obiektu każd</w:t>
      </w:r>
      <w:r>
        <w:rPr>
          <w:rFonts w:ascii="Arial" w:hAnsi="Arial" w:cs="Arial"/>
          <w:sz w:val="28"/>
          <w:szCs w:val="28"/>
        </w:rPr>
        <w:t xml:space="preserve">orazowo w przypadku wystąpienia </w:t>
      </w:r>
      <w:r w:rsidRPr="00E314C0">
        <w:rPr>
          <w:rFonts w:ascii="Arial" w:hAnsi="Arial" w:cs="Arial"/>
          <w:sz w:val="28"/>
          <w:szCs w:val="28"/>
        </w:rPr>
        <w:t>okoliczności, o których mowa w art. 61 pkt 2;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4a) w przypadku zgłoszenia przez osoby zamieszkuj</w:t>
      </w:r>
      <w:r>
        <w:rPr>
          <w:rFonts w:ascii="Arial" w:hAnsi="Arial" w:cs="Arial"/>
          <w:sz w:val="28"/>
          <w:szCs w:val="28"/>
        </w:rPr>
        <w:t xml:space="preserve">ące lokal mieszkalny znajdujący </w:t>
      </w:r>
      <w:r w:rsidRPr="00E314C0">
        <w:rPr>
          <w:rFonts w:ascii="Arial" w:hAnsi="Arial" w:cs="Arial"/>
          <w:sz w:val="28"/>
          <w:szCs w:val="28"/>
        </w:rPr>
        <w:t>się w obiekcie budowlanym o dokon</w:t>
      </w:r>
      <w:r>
        <w:rPr>
          <w:rFonts w:ascii="Arial" w:hAnsi="Arial" w:cs="Arial"/>
          <w:sz w:val="28"/>
          <w:szCs w:val="28"/>
        </w:rPr>
        <w:t xml:space="preserve">aniu nieuzasadnionych względami </w:t>
      </w:r>
      <w:r w:rsidRPr="00E314C0">
        <w:rPr>
          <w:rFonts w:ascii="Arial" w:hAnsi="Arial" w:cs="Arial"/>
          <w:sz w:val="28"/>
          <w:szCs w:val="28"/>
        </w:rPr>
        <w:t>technicznymi lub użytkowymi ingerencji lub naruszeń, powodujących, że nie s</w:t>
      </w:r>
      <w:r>
        <w:rPr>
          <w:rFonts w:ascii="Arial" w:hAnsi="Arial" w:cs="Arial"/>
          <w:sz w:val="28"/>
          <w:szCs w:val="28"/>
        </w:rPr>
        <w:t xml:space="preserve">ą </w:t>
      </w:r>
      <w:r w:rsidRPr="00E314C0">
        <w:rPr>
          <w:rFonts w:ascii="Arial" w:hAnsi="Arial" w:cs="Arial"/>
          <w:sz w:val="28"/>
          <w:szCs w:val="28"/>
        </w:rPr>
        <w:t>spełnione warunki określone w art. 5 ust. 2.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5) (uchylony)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6) (uchylony)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1a</w:t>
      </w:r>
      <w:r w:rsidRPr="00E4374E">
        <w:rPr>
          <w:rFonts w:ascii="Arial" w:hAnsi="Arial" w:cs="Arial"/>
          <w:sz w:val="28"/>
          <w:szCs w:val="28"/>
          <w:highlight w:val="yellow"/>
        </w:rPr>
        <w:t>. W trakcie kontroli, o której mowa w ust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. 1, należy dokonać sprawdzenia </w:t>
      </w:r>
      <w:r w:rsidRPr="00E4374E">
        <w:rPr>
          <w:rFonts w:ascii="Arial" w:hAnsi="Arial" w:cs="Arial"/>
          <w:sz w:val="28"/>
          <w:szCs w:val="28"/>
          <w:highlight w:val="yellow"/>
        </w:rPr>
        <w:t>wykonania zaleceń z poprzedniej kontroli.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1b. (uchylony)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2. Obowiązek kontroli, o której mowa w ust. 1 pkt 1 lit. a, nie obejmuje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właścicieli i zarządców: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1) budynków mieszkalnych jednorodzinnych;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2) obiektów budowlanych: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a) budownictwa zagrodowego i letniskowego,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b) wymienionych w art. 29 ust. 1.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2a. Kontrolę, o której mowa w ust. 1 pkt 4a, właściciel lub zarządca jest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zobowiązany przeprowadzić w terminie 3 dni od otrzymania zgłoszenia.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lastRenderedPageBreak/>
        <w:t>3. Organ nadzoru budowlanego – w razie stwi</w:t>
      </w:r>
      <w:r>
        <w:rPr>
          <w:rFonts w:ascii="Arial" w:hAnsi="Arial" w:cs="Arial"/>
          <w:sz w:val="28"/>
          <w:szCs w:val="28"/>
        </w:rPr>
        <w:t xml:space="preserve">erdzenia nieodpowiedniego stanu </w:t>
      </w:r>
      <w:r w:rsidRPr="00E314C0">
        <w:rPr>
          <w:rFonts w:ascii="Arial" w:hAnsi="Arial" w:cs="Arial"/>
          <w:sz w:val="28"/>
          <w:szCs w:val="28"/>
        </w:rPr>
        <w:t>technicznego obiektu budowlanego lub j</w:t>
      </w:r>
      <w:r>
        <w:rPr>
          <w:rFonts w:ascii="Arial" w:hAnsi="Arial" w:cs="Arial"/>
          <w:sz w:val="28"/>
          <w:szCs w:val="28"/>
        </w:rPr>
        <w:t xml:space="preserve">ego części, mogącego spowodować </w:t>
      </w:r>
      <w:r w:rsidRPr="00E314C0">
        <w:rPr>
          <w:rFonts w:ascii="Arial" w:hAnsi="Arial" w:cs="Arial"/>
          <w:sz w:val="28"/>
          <w:szCs w:val="28"/>
        </w:rPr>
        <w:t>zagrożenie: życia lub zdrowia ludzi, bezpiecz</w:t>
      </w:r>
      <w:r>
        <w:rPr>
          <w:rFonts w:ascii="Arial" w:hAnsi="Arial" w:cs="Arial"/>
          <w:sz w:val="28"/>
          <w:szCs w:val="28"/>
        </w:rPr>
        <w:t xml:space="preserve">eństwa mienia bądź środowiska – </w:t>
      </w:r>
      <w:r w:rsidRPr="00E314C0">
        <w:rPr>
          <w:rFonts w:ascii="Arial" w:hAnsi="Arial" w:cs="Arial"/>
          <w:sz w:val="28"/>
          <w:szCs w:val="28"/>
        </w:rPr>
        <w:t>nakazuje przeprowadzenie kontroli, o której mo</w:t>
      </w:r>
      <w:r>
        <w:rPr>
          <w:rFonts w:ascii="Arial" w:hAnsi="Arial" w:cs="Arial"/>
          <w:sz w:val="28"/>
          <w:szCs w:val="28"/>
        </w:rPr>
        <w:t xml:space="preserve">wa w ust. 1, a także może żądać </w:t>
      </w:r>
      <w:r w:rsidRPr="00E314C0">
        <w:rPr>
          <w:rFonts w:ascii="Arial" w:hAnsi="Arial" w:cs="Arial"/>
          <w:sz w:val="28"/>
          <w:szCs w:val="28"/>
        </w:rPr>
        <w:t>przedstawienia ekspertyzy stanu technicznego obiektu lub jego części.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314C0">
        <w:rPr>
          <w:rFonts w:ascii="Arial" w:hAnsi="Arial" w:cs="Arial"/>
          <w:sz w:val="28"/>
          <w:szCs w:val="28"/>
        </w:rPr>
        <w:t>4</w:t>
      </w:r>
      <w:r w:rsidRPr="00E4374E">
        <w:rPr>
          <w:rFonts w:ascii="Arial" w:hAnsi="Arial" w:cs="Arial"/>
          <w:sz w:val="28"/>
          <w:szCs w:val="28"/>
          <w:highlight w:val="yellow"/>
        </w:rPr>
        <w:t>. Kontrole, o których mowa w ust. 1, z zastrzeżeniem ust. 5–6a, przeprowadzają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osoby posiadające uprawnienia budowlane w odpowiedniej specjalności.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5. Kontrole stanu technicznego instalacji elektrycznych, piorunochronnych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 xml:space="preserve">i gazowych, o których mowa w ust. 1 pkt 1 lit. c i </w:t>
      </w:r>
      <w:r>
        <w:rPr>
          <w:rFonts w:ascii="Arial" w:hAnsi="Arial" w:cs="Arial"/>
          <w:sz w:val="28"/>
          <w:szCs w:val="28"/>
        </w:rPr>
        <w:t xml:space="preserve">pkt 2, mogą przeprowadzać osoby </w:t>
      </w:r>
      <w:r w:rsidRPr="00E314C0">
        <w:rPr>
          <w:rFonts w:ascii="Arial" w:hAnsi="Arial" w:cs="Arial"/>
          <w:sz w:val="28"/>
          <w:szCs w:val="28"/>
        </w:rPr>
        <w:t>posiadające kwalifikacje wymagane przy wyko</w:t>
      </w:r>
      <w:r>
        <w:rPr>
          <w:rFonts w:ascii="Arial" w:hAnsi="Arial" w:cs="Arial"/>
          <w:sz w:val="28"/>
          <w:szCs w:val="28"/>
        </w:rPr>
        <w:t xml:space="preserve">nywaniu dozoru nad eksploatacją </w:t>
      </w:r>
      <w:r w:rsidRPr="00E314C0">
        <w:rPr>
          <w:rFonts w:ascii="Arial" w:hAnsi="Arial" w:cs="Arial"/>
          <w:sz w:val="28"/>
          <w:szCs w:val="28"/>
        </w:rPr>
        <w:t>urządzeń, instalacji oraz sieci energetycznych i gazowych.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314C0">
        <w:rPr>
          <w:rFonts w:ascii="Arial" w:hAnsi="Arial" w:cs="Arial"/>
          <w:sz w:val="28"/>
          <w:szCs w:val="28"/>
        </w:rPr>
        <w:t xml:space="preserve">6. </w:t>
      </w:r>
      <w:r w:rsidRPr="00E4374E">
        <w:rPr>
          <w:rFonts w:ascii="Arial" w:hAnsi="Arial" w:cs="Arial"/>
          <w:sz w:val="28"/>
          <w:szCs w:val="28"/>
          <w:highlight w:val="yellow"/>
        </w:rPr>
        <w:t>Kontrolę stanu technicznego przewodów kominowych, o której mowa w ust. 1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pkt 1 lit. c, powinny przeprowadzać: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1) osoby posiadające kwalifikacje mistrza w rzemiośle kominiarskim –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w odniesieniu do przewodów dymowych oraz grawitacyjnych przewodów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spalinowych i wentylacyjnych;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2) osoby posiadające uprawnienia budowlane odpowiedniej specjalności</w:t>
      </w:r>
      <w:r w:rsidRPr="00E314C0">
        <w:rPr>
          <w:rFonts w:ascii="Arial" w:hAnsi="Arial" w:cs="Arial"/>
          <w:sz w:val="28"/>
          <w:szCs w:val="28"/>
        </w:rPr>
        <w:t xml:space="preserve"> –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w odniesieniu do przewodów kominowych, o których mowa w pkt 1, oraz do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kominów przemysłowych, kominów wolno stojących oraz kominów lub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przewodów kominowych, w których cią</w:t>
      </w:r>
      <w:r>
        <w:rPr>
          <w:rFonts w:ascii="Arial" w:hAnsi="Arial" w:cs="Arial"/>
          <w:sz w:val="28"/>
          <w:szCs w:val="28"/>
        </w:rPr>
        <w:t xml:space="preserve">g kominowy jest wymuszony pracą </w:t>
      </w:r>
      <w:r w:rsidRPr="00E314C0">
        <w:rPr>
          <w:rFonts w:ascii="Arial" w:hAnsi="Arial" w:cs="Arial"/>
          <w:sz w:val="28"/>
          <w:szCs w:val="28"/>
        </w:rPr>
        <w:t>urządzeń mechanicznych.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6a. Kontrolę stanu technicznego i stanu bezpieczeństwa budowli piętrzących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lastRenderedPageBreak/>
        <w:t>mogą przeprowadzać także upoważnieni pracow</w:t>
      </w:r>
      <w:r>
        <w:rPr>
          <w:rFonts w:ascii="Arial" w:hAnsi="Arial" w:cs="Arial"/>
          <w:sz w:val="28"/>
          <w:szCs w:val="28"/>
        </w:rPr>
        <w:t xml:space="preserve">nicy państwowej służby do spraw </w:t>
      </w:r>
      <w:r w:rsidRPr="00E314C0">
        <w:rPr>
          <w:rFonts w:ascii="Arial" w:hAnsi="Arial" w:cs="Arial"/>
          <w:sz w:val="28"/>
          <w:szCs w:val="28"/>
        </w:rPr>
        <w:t>bezpieczeństwa budowli piętrzących.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7. Szczegółowy zakres kontroli niektórych budowli oraz obowiązek</w:t>
      </w:r>
    </w:p>
    <w:p w:rsidR="00E314C0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314C0">
        <w:rPr>
          <w:rFonts w:ascii="Arial" w:hAnsi="Arial" w:cs="Arial"/>
          <w:sz w:val="28"/>
          <w:szCs w:val="28"/>
        </w:rPr>
        <w:t>przeprowadzania ich częściej, niż zostało to ustalo</w:t>
      </w:r>
      <w:r>
        <w:rPr>
          <w:rFonts w:ascii="Arial" w:hAnsi="Arial" w:cs="Arial"/>
          <w:sz w:val="28"/>
          <w:szCs w:val="28"/>
        </w:rPr>
        <w:t xml:space="preserve">ne w ust. 1, może być określony </w:t>
      </w:r>
      <w:r w:rsidRPr="00E314C0">
        <w:rPr>
          <w:rFonts w:ascii="Arial" w:hAnsi="Arial" w:cs="Arial"/>
          <w:sz w:val="28"/>
          <w:szCs w:val="28"/>
        </w:rPr>
        <w:t>w rozporządzeniu, o którym mowa w art. 7 ust. 3 pkt 2.</w:t>
      </w:r>
    </w:p>
    <w:p w:rsidR="00E314C0" w:rsidRPr="00E4374E" w:rsidRDefault="00E314C0" w:rsidP="00E314C0">
      <w:pPr>
        <w:rPr>
          <w:rFonts w:ascii="Arial" w:hAnsi="Arial" w:cs="Arial"/>
          <w:sz w:val="28"/>
          <w:szCs w:val="28"/>
          <w:highlight w:val="yellow"/>
        </w:rPr>
      </w:pPr>
      <w:r w:rsidRPr="00E314C0">
        <w:rPr>
          <w:rFonts w:ascii="Arial" w:hAnsi="Arial" w:cs="Arial"/>
          <w:sz w:val="28"/>
          <w:szCs w:val="28"/>
        </w:rPr>
        <w:t xml:space="preserve">Art. 63. 1. </w:t>
      </w:r>
      <w:r w:rsidRPr="00E4374E">
        <w:rPr>
          <w:rFonts w:ascii="Arial" w:hAnsi="Arial" w:cs="Arial"/>
          <w:sz w:val="28"/>
          <w:szCs w:val="28"/>
          <w:highlight w:val="yellow"/>
        </w:rPr>
        <w:t>Właściciel lub zarządca obiektu budowlanego jest obowiązany</w:t>
      </w:r>
    </w:p>
    <w:p w:rsidR="00173FB3" w:rsidRPr="00E314C0" w:rsidRDefault="00E314C0" w:rsidP="00E314C0">
      <w:pPr>
        <w:rPr>
          <w:rFonts w:ascii="Arial" w:hAnsi="Arial" w:cs="Arial"/>
          <w:sz w:val="28"/>
          <w:szCs w:val="28"/>
        </w:rPr>
      </w:pPr>
      <w:r w:rsidRPr="00E4374E">
        <w:rPr>
          <w:rFonts w:ascii="Arial" w:hAnsi="Arial" w:cs="Arial"/>
          <w:sz w:val="28"/>
          <w:szCs w:val="28"/>
          <w:highlight w:val="yellow"/>
        </w:rPr>
        <w:t>przechowywać przez okres istnienia obiektu dokum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enty, o których mowa w art. 60, </w:t>
      </w:r>
      <w:r w:rsidRPr="00E4374E">
        <w:rPr>
          <w:rFonts w:ascii="Arial" w:hAnsi="Arial" w:cs="Arial"/>
          <w:sz w:val="28"/>
          <w:szCs w:val="28"/>
          <w:highlight w:val="yellow"/>
        </w:rPr>
        <w:t>oraz opracowania projektowe i dokumen</w:t>
      </w:r>
      <w:r w:rsidRPr="00E4374E">
        <w:rPr>
          <w:rFonts w:ascii="Arial" w:hAnsi="Arial" w:cs="Arial"/>
          <w:sz w:val="28"/>
          <w:szCs w:val="28"/>
          <w:highlight w:val="yellow"/>
        </w:rPr>
        <w:t xml:space="preserve">ty techniczne robót budowlanych </w:t>
      </w:r>
      <w:r w:rsidRPr="00E4374E">
        <w:rPr>
          <w:rFonts w:ascii="Arial" w:hAnsi="Arial" w:cs="Arial"/>
          <w:sz w:val="28"/>
          <w:szCs w:val="28"/>
          <w:highlight w:val="yellow"/>
        </w:rPr>
        <w:t>wykonywanych w obiekcie w toku jego użytkowania.</w:t>
      </w:r>
      <w:bookmarkStart w:id="0" w:name="_GoBack"/>
      <w:bookmarkEnd w:id="0"/>
      <w:r w:rsidRPr="00E314C0">
        <w:rPr>
          <w:rFonts w:ascii="Arial" w:hAnsi="Arial" w:cs="Arial"/>
          <w:sz w:val="28"/>
          <w:szCs w:val="28"/>
        </w:rPr>
        <w:cr/>
      </w:r>
    </w:p>
    <w:sectPr w:rsidR="00173FB3" w:rsidRPr="00E31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288" w:rsidRDefault="00927288" w:rsidP="00E314C0">
      <w:pPr>
        <w:spacing w:after="0" w:line="240" w:lineRule="auto"/>
      </w:pPr>
      <w:r>
        <w:separator/>
      </w:r>
    </w:p>
  </w:endnote>
  <w:endnote w:type="continuationSeparator" w:id="0">
    <w:p w:rsidR="00927288" w:rsidRDefault="00927288" w:rsidP="00E3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288" w:rsidRDefault="00927288" w:rsidP="00E314C0">
      <w:pPr>
        <w:spacing w:after="0" w:line="240" w:lineRule="auto"/>
      </w:pPr>
      <w:r>
        <w:separator/>
      </w:r>
    </w:p>
  </w:footnote>
  <w:footnote w:type="continuationSeparator" w:id="0">
    <w:p w:rsidR="00927288" w:rsidRDefault="00927288" w:rsidP="00E314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70"/>
    <w:rsid w:val="00173FB3"/>
    <w:rsid w:val="00927288"/>
    <w:rsid w:val="00DC6E70"/>
    <w:rsid w:val="00E314C0"/>
    <w:rsid w:val="00E4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14C0"/>
  </w:style>
  <w:style w:type="paragraph" w:styleId="Stopka">
    <w:name w:val="footer"/>
    <w:basedOn w:val="Normalny"/>
    <w:link w:val="StopkaZnak"/>
    <w:uiPriority w:val="99"/>
    <w:unhideWhenUsed/>
    <w:rsid w:val="00E3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14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14C0"/>
  </w:style>
  <w:style w:type="paragraph" w:styleId="Stopka">
    <w:name w:val="footer"/>
    <w:basedOn w:val="Normalny"/>
    <w:link w:val="StopkaZnak"/>
    <w:uiPriority w:val="99"/>
    <w:unhideWhenUsed/>
    <w:rsid w:val="00E3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1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733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Janusz</dc:creator>
  <cp:keywords/>
  <dc:description/>
  <cp:lastModifiedBy>Ewa Janusz</cp:lastModifiedBy>
  <cp:revision>3</cp:revision>
  <dcterms:created xsi:type="dcterms:W3CDTF">2019-04-02T18:03:00Z</dcterms:created>
  <dcterms:modified xsi:type="dcterms:W3CDTF">2019-04-02T18:13:00Z</dcterms:modified>
</cp:coreProperties>
</file>